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Amaliy Ish: Stressni Kamaytirish Usullari</w:t>
      </w:r>
    </w:p>
    <w:p>
      <w:pPr>
        <w:pStyle w:val="Heading1"/>
      </w:pPr>
      <w:r>
        <w:t>1. Kirish</w:t>
      </w:r>
    </w:p>
    <w:p>
      <w:r>
        <w:t>Stress har bir inson hayotida uchraydi va uning yuqori darajasi salomatlik, kayfiyat va ish samaradorligiga salbiy ta’sir ko‘rsatadi. Ushbu ishning maqsadi — turli amaliy usullar yordamida stressni kamaytirish va ularning samaradorligini o‘lchash.</w:t>
      </w:r>
    </w:p>
    <w:p>
      <w:pPr>
        <w:pStyle w:val="Heading1"/>
      </w:pPr>
      <w:r>
        <w:t>2. Metodika</w:t>
      </w:r>
    </w:p>
    <w:p>
      <w:r>
        <w:t>Ishtirokchilar:</w:t>
      </w:r>
    </w:p>
    <w:p>
      <w:r>
        <w:t>• 12 kishi (6 ayol, 6 erkak), 18–35 yosh oralig‘ida</w:t>
        <w:br/>
        <w:t>• Ixtiyoriy qatnashuv, sog‘ligiga jiddiy cheklovlari yo‘q</w:t>
      </w:r>
    </w:p>
    <w:p>
      <w:r>
        <w:t>Amaliy metodlar:</w:t>
      </w:r>
    </w:p>
    <w:p>
      <w:r>
        <w:t>1. Boshlang‘ich baholash:</w:t>
      </w:r>
    </w:p>
    <w:p>
      <w:r>
        <w:t>• Ishtirokchilar o‘z stress darajasini 1–10 shkalasi bo‘yicha baholaydi (1 — hech stress yo‘q, 10 — juda yuqori stress).</w:t>
      </w:r>
    </w:p>
    <w:p>
      <w:r>
        <w:t>2. Amaliy mashqlar (1 hafta davomida, kuniga 10–15 daqiqa):</w:t>
      </w:r>
    </w:p>
    <w:p>
      <w:r>
        <w:t>• Nafas mashqlari: chuqur va sekin nafas olish, 5–10 daqiqa</w:t>
        <w:br/>
        <w:t>• Meditatsiya / vizualizatsiya: tinch joyda 5–10 daqiqa, ijobiy tasavvur qilish</w:t>
        <w:br/>
        <w:t>• Yengil jismoniy mashqlar: cho‘zilish, yurish yoki engil gimnastika, 5–10 daqiqa</w:t>
      </w:r>
    </w:p>
    <w:p>
      <w:r>
        <w:t>3. Yakuniy baholash:</w:t>
      </w:r>
    </w:p>
    <w:p>
      <w:r>
        <w:t>• 1 haftalik mashqlardan keyin ishtirokchilar stress darajasini qayta baholaydi</w:t>
        <w:br/>
        <w:t>• Qo‘shimcha: qisqa anketalar orqali ruhiy holat, konsentratsiya va kayfiyat o‘lchanadi</w:t>
      </w:r>
    </w:p>
    <w:p>
      <w:pPr>
        <w:pStyle w:val="Heading1"/>
      </w:pPr>
      <w:r>
        <w:t>3. Natijalar va Tahlil</w:t>
      </w:r>
    </w:p>
    <w:p>
      <w:r>
        <w:t xml:space="preserve">Har bir ishtirokchi uchun boshlang‘ich va yakuniy stress baholari solishtiriladi. O‘rtacha kamayish foizi hisoblanadi: </w:t>
      </w:r>
    </w:p>
    <w:p>
      <w:r>
        <w:t>Stress kamayishi (%) = (Boshlang‘ich baho – Yakuniy baho) / Boshlang‘ich baho × 100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Ishtirokchi</w:t>
            </w:r>
          </w:p>
        </w:tc>
        <w:tc>
          <w:tcPr>
            <w:tcW w:type="dxa" w:w="2160"/>
          </w:tcPr>
          <w:p>
            <w:r>
              <w:t>Boshlang‘ich baho</w:t>
            </w:r>
          </w:p>
        </w:tc>
        <w:tc>
          <w:tcPr>
            <w:tcW w:type="dxa" w:w="2160"/>
          </w:tcPr>
          <w:p>
            <w:r>
              <w:t>Yakuniy baho</w:t>
            </w:r>
          </w:p>
        </w:tc>
        <w:tc>
          <w:tcPr>
            <w:tcW w:type="dxa" w:w="2160"/>
          </w:tcPr>
          <w:p>
            <w:r>
              <w:t>Kamayish (%)</w:t>
            </w:r>
          </w:p>
        </w:tc>
      </w:tr>
      <w:tr>
        <w:tc>
          <w:tcPr>
            <w:tcW w:type="dxa" w:w="2160"/>
          </w:tcPr>
          <w:p>
            <w:r>
              <w:t>Ishtirokchi 1</w:t>
            </w:r>
          </w:p>
        </w:tc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42.9</w:t>
            </w:r>
          </w:p>
        </w:tc>
      </w:tr>
      <w:tr>
        <w:tc>
          <w:tcPr>
            <w:tcW w:type="dxa" w:w="2160"/>
          </w:tcPr>
          <w:p>
            <w:r>
              <w:t>Ishtirokchi 2</w:t>
            </w:r>
          </w:p>
        </w:tc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50.0</w:t>
            </w:r>
          </w:p>
        </w:tc>
      </w:tr>
      <w:tr>
        <w:tc>
          <w:tcPr>
            <w:tcW w:type="dxa" w:w="2160"/>
          </w:tcPr>
          <w:p>
            <w:r>
              <w:t>Ishtirokchi 3</w:t>
            </w:r>
          </w:p>
        </w:tc>
        <w:tc>
          <w:tcPr>
            <w:tcW w:type="dxa" w:w="2160"/>
          </w:tcPr>
          <w:p>
            <w:r>
              <w:t>8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37.5</w:t>
            </w:r>
          </w:p>
        </w:tc>
      </w:tr>
      <w:tr>
        <w:tc>
          <w:tcPr>
            <w:tcW w:type="dxa" w:w="2160"/>
          </w:tcPr>
          <w:p>
            <w:r>
              <w:t>Ishtirokchi 4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40.0</w:t>
            </w:r>
          </w:p>
        </w:tc>
      </w:tr>
      <w:tr>
        <w:tc>
          <w:tcPr>
            <w:tcW w:type="dxa" w:w="2160"/>
          </w:tcPr>
          <w:p>
            <w:r>
              <w:t>Ishtirokchi 5</w:t>
            </w:r>
          </w:p>
        </w:tc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33.3</w:t>
            </w:r>
          </w:p>
        </w:tc>
      </w:tr>
      <w:tr>
        <w:tc>
          <w:tcPr>
            <w:tcW w:type="dxa" w:w="2160"/>
          </w:tcPr>
          <w:p>
            <w:r>
              <w:t>Ishtirokchi 6</w:t>
            </w:r>
          </w:p>
        </w:tc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42.9</w:t>
            </w:r>
          </w:p>
        </w:tc>
      </w:tr>
      <w:tr>
        <w:tc>
          <w:tcPr>
            <w:tcW w:type="dxa" w:w="2160"/>
          </w:tcPr>
          <w:p>
            <w:r>
              <w:t>Ishtirokchi 7</w:t>
            </w:r>
          </w:p>
        </w:tc>
        <w:tc>
          <w:tcPr>
            <w:tcW w:type="dxa" w:w="2160"/>
          </w:tcPr>
          <w:p>
            <w:r>
              <w:t>8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37.5</w:t>
            </w:r>
          </w:p>
        </w:tc>
      </w:tr>
      <w:tr>
        <w:tc>
          <w:tcPr>
            <w:tcW w:type="dxa" w:w="2160"/>
          </w:tcPr>
          <w:p>
            <w:r>
              <w:t>Ishtirokchi 8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60.0</w:t>
            </w:r>
          </w:p>
        </w:tc>
      </w:tr>
      <w:tr>
        <w:tc>
          <w:tcPr>
            <w:tcW w:type="dxa" w:w="2160"/>
          </w:tcPr>
          <w:p>
            <w:r>
              <w:t>Ishtirokchi 9</w:t>
            </w:r>
          </w:p>
        </w:tc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50.0</w:t>
            </w:r>
          </w:p>
        </w:tc>
      </w:tr>
      <w:tr>
        <w:tc>
          <w:tcPr>
            <w:tcW w:type="dxa" w:w="2160"/>
          </w:tcPr>
          <w:p>
            <w:r>
              <w:t>Ishtirokchi 10</w:t>
            </w:r>
          </w:p>
        </w:tc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42.9</w:t>
            </w:r>
          </w:p>
        </w:tc>
      </w:tr>
      <w:tr>
        <w:tc>
          <w:tcPr>
            <w:tcW w:type="dxa" w:w="2160"/>
          </w:tcPr>
          <w:p>
            <w:r>
              <w:t>Ishtirokchi 11</w:t>
            </w:r>
          </w:p>
        </w:tc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50.0</w:t>
            </w:r>
          </w:p>
        </w:tc>
      </w:tr>
      <w:tr>
        <w:tc>
          <w:tcPr>
            <w:tcW w:type="dxa" w:w="2160"/>
          </w:tcPr>
          <w:p>
            <w:r>
              <w:t>Ishtirokchi 12</w:t>
            </w:r>
          </w:p>
        </w:tc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42.9</w:t>
            </w:r>
          </w:p>
        </w:tc>
      </w:tr>
    </w:tbl>
    <w:p>
      <w:r>
        <w:t>Quyidagi grafik stress darajasining boshlang‘ich va yakuniy holatini ko‘rsatadi:</w:t>
      </w:r>
    </w:p>
    <w:p>
      <w:r>
        <w:drawing>
          <wp:inline xmlns:a="http://schemas.openxmlformats.org/drawingml/2006/main" xmlns:pic="http://schemas.openxmlformats.org/drawingml/2006/picture">
            <wp:extent cx="4572000" cy="2857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ess_char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