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768" w:rsidRPr="00CE26D9" w:rsidRDefault="00AF14F7" w:rsidP="00395065">
      <w:pPr>
        <w:spacing w:line="360" w:lineRule="auto"/>
        <w:jc w:val="center"/>
        <w:rPr>
          <w:rFonts w:ascii="Times New Roman" w:hAnsi="Times New Roman" w:cs="Times New Roman"/>
          <w:b/>
          <w:sz w:val="28"/>
          <w:szCs w:val="28"/>
        </w:rPr>
      </w:pPr>
      <w:r w:rsidRPr="00CE26D9">
        <w:rPr>
          <w:rFonts w:ascii="Times New Roman" w:hAnsi="Times New Roman" w:cs="Times New Roman"/>
          <w:b/>
          <w:sz w:val="28"/>
          <w:szCs w:val="28"/>
        </w:rPr>
        <w:t>Bozor insituti.Transaksiyalar va transaksion xarajatlarni tahlil qilishga nisbatan yondashuvlar</w:t>
      </w:r>
    </w:p>
    <w:p w:rsidR="00AF14F7" w:rsidRPr="00CE26D9" w:rsidRDefault="00AF14F7" w:rsidP="007C08A2">
      <w:pPr>
        <w:spacing w:line="360" w:lineRule="auto"/>
        <w:ind w:firstLine="284"/>
        <w:jc w:val="both"/>
        <w:rPr>
          <w:rFonts w:ascii="Times New Roman" w:hAnsi="Times New Roman" w:cs="Times New Roman"/>
          <w:sz w:val="28"/>
          <w:szCs w:val="28"/>
          <w:lang w:eastAsia="ru-RU"/>
        </w:rPr>
      </w:pPr>
      <w:r w:rsidRPr="00CE26D9">
        <w:rPr>
          <w:rFonts w:ascii="Times New Roman" w:hAnsi="Times New Roman" w:cs="Times New Roman"/>
          <w:sz w:val="28"/>
          <w:szCs w:val="28"/>
          <w:lang w:eastAsia="ru-RU"/>
        </w:rPr>
        <w:t>Tadbirkorlik faoliyatini yurituvchi iqtisodiyot sub’ektlari (yuridik va jismoniy shaxslar) faoliyati jarayonida mulkchilik huquqni almashishi (shartnomalar asosida mahsulotni sotish yoki sotib olish va shu kabi boshqa holatlarda), boshqa shaxslar tomonidan mulkga nisbatan noqonuniy xatti-harakatlar sodir etilgan sharoitlarda uni himoya qilish yoki iqtisodiy islohotlar jarayonida avval faoliyat yuritib turgan institutlarni va normalarni yangilari bilan almashtirish zaruriyati yuzaga keladi. Shunday vaziyatlarda tadbirkor yoki davlat tomonidan turli xarajatlar qilishiga zarurat paydo bo’ladi. Bunday xarajatlar xorijiy manbalarda “transaktsiya xarajatlari” tushunchasi bilan yuritiladi va u institutsional iqtisodiyot nazariyasining tarkibiy qismlaridan biri sifatida institutlar bilan bir qatorda uning kategoriyasi hisoblanadi.</w:t>
      </w:r>
      <w:r w:rsidRPr="00CE26D9">
        <w:rPr>
          <w:rFonts w:ascii="Times New Roman" w:hAnsi="Times New Roman" w:cs="Times New Roman"/>
          <w:sz w:val="28"/>
          <w:szCs w:val="28"/>
          <w:lang w:eastAsia="ru-RU"/>
        </w:rPr>
        <w:br/>
        <w:t>Transaktsiya xarajatlari tushunchasi bilan bir qatorda transformatsiya xarajatlari tushunchasi ham mavjud bo’lib, ushbu tushunchalarni to’g’ri anglab etish ularni tahlil qilish uchun muhim ahamiyatga ega.</w:t>
      </w:r>
      <w:r w:rsidRPr="00CE26D9">
        <w:rPr>
          <w:rFonts w:ascii="Times New Roman" w:hAnsi="Times New Roman" w:cs="Times New Roman"/>
          <w:sz w:val="28"/>
          <w:szCs w:val="28"/>
          <w:lang w:eastAsia="ru-RU"/>
        </w:rPr>
        <w:br/>
        <w:t>Transaktsiya xarajatlari tushunchasini qo’llagan holda dastlabki tadqiqotlar R.Kouz [42] tomonidan firmalar faoliyatini tahlil qilish uchun o’tkazilgan. Bunga 1960-yillarda sanoati rivojlangan etakchi mamlakatlarda ijtimoiy-iqtisodiy muammolarning keskinlashuvi sabab bo’lgan. Yagona xo’jalik tizimini yaratishga bo’lgan intilish, mehnat taqsimotining chuqurlashuvi, </w:t>
      </w:r>
      <w:hyperlink r:id="rId5" w:history="1">
        <w:r w:rsidRPr="00CE26D9">
          <w:rPr>
            <w:rFonts w:ascii="Times New Roman" w:hAnsi="Times New Roman" w:cs="Times New Roman"/>
            <w:sz w:val="28"/>
            <w:szCs w:val="28"/>
            <w:lang w:eastAsia="ru-RU"/>
          </w:rPr>
          <w:t>mulkning yangi turlari</w:t>
        </w:r>
      </w:hyperlink>
      <w:r w:rsidRPr="00CE26D9">
        <w:rPr>
          <w:rFonts w:ascii="Times New Roman" w:hAnsi="Times New Roman" w:cs="Times New Roman"/>
          <w:sz w:val="28"/>
          <w:szCs w:val="28"/>
          <w:lang w:eastAsia="ru-RU"/>
        </w:rPr>
        <w:t>, masalan intellektual mulkning paydo bo’lishi, mulk huquqlarining alohida vakolatlarga bo’linib ketishi – bularning barchasi transaktsiya xarajatlarining sezilarli darajada o’sishiga olib keldi.</w:t>
      </w:r>
      <w:r w:rsidRPr="00CE26D9">
        <w:rPr>
          <w:rFonts w:ascii="Times New Roman" w:hAnsi="Times New Roman" w:cs="Times New Roman"/>
          <w:sz w:val="28"/>
          <w:szCs w:val="28"/>
          <w:lang w:eastAsia="ru-RU"/>
        </w:rPr>
        <w:br/>
        <w:t xml:space="preserve">Transaktsiya xarajatlari nazariyasi doirasida o’tkaziladigan tadqiqotlarni mikro va makrodarajalarga bo’lish mumkin. Mikrodarajada gap jarayonlarni korxona (firma), alohida iqtisodiy sub’ektlar darajasida tahlil qilish haqida, makrodarajada esa umuman iqtisodiy tizimni tahlil qilish haqida boradi. Ushbu tahlil qilish belgisiga muvofiq transaktsiya xarajatlari nazariyasida ikkita yondashuv mavjudligini izohlash mumkin: birinchisi, Kouz – Uilyamsonning transaktsion </w:t>
      </w:r>
      <w:r w:rsidRPr="00CE26D9">
        <w:rPr>
          <w:rFonts w:ascii="Times New Roman" w:hAnsi="Times New Roman" w:cs="Times New Roman"/>
          <w:sz w:val="28"/>
          <w:szCs w:val="28"/>
          <w:lang w:eastAsia="ru-RU"/>
        </w:rPr>
        <w:lastRenderedPageBreak/>
        <w:t>yondashuvi (barqaror faoliyat ko’rsatuvchi institutlarni tahlil qilish uchun) va ikkinchisi Nortning transformatsion yondashuvi (institutsional o’zgarishlarni tahlil qilish uchun).</w:t>
      </w:r>
      <w:r w:rsidRPr="00CE26D9">
        <w:rPr>
          <w:rFonts w:ascii="Times New Roman" w:hAnsi="Times New Roman" w:cs="Times New Roman"/>
          <w:sz w:val="28"/>
          <w:szCs w:val="28"/>
          <w:lang w:eastAsia="ru-RU"/>
        </w:rPr>
        <w:br/>
        <w:t>Bunday yondashuvlar o’tish iqtisodiyotiga ega bo’lgan mamlakatlarda transformatsion jarayonlarning institutsional jihatlarini tadqiq etish imkonini beradi. Xususan birinchi yondashuvni davlat va xususiy mulkchilik tuzilmalarining samaradorligini qiyosiy tahlil qilish, norasmiy institutlarning </w:t>
      </w:r>
      <w:hyperlink r:id="rId6" w:history="1">
        <w:r w:rsidRPr="00CE26D9">
          <w:rPr>
            <w:rFonts w:ascii="Times New Roman" w:hAnsi="Times New Roman" w:cs="Times New Roman"/>
            <w:sz w:val="28"/>
            <w:szCs w:val="28"/>
            <w:lang w:eastAsia="ru-RU"/>
          </w:rPr>
          <w:t>shakllanish jarayonlarini</w:t>
        </w:r>
      </w:hyperlink>
      <w:r w:rsidRPr="00CE26D9">
        <w:rPr>
          <w:rFonts w:ascii="Times New Roman" w:hAnsi="Times New Roman" w:cs="Times New Roman"/>
          <w:sz w:val="28"/>
          <w:szCs w:val="28"/>
          <w:lang w:eastAsia="ru-RU"/>
        </w:rPr>
        <w:t>, jamiyat va iqtisodiyotning kriminallashuvini izohlash uchun, ikkinchi yondashuvni esa buyruqbozlik tizimidan bozor iqtisodiyoti tizimiga o’tishning institutsional sabablarini, o’tish iqtisodiyotiga ega bo’lgan mamlakatlarda islohotlar jarayonlarining borishi va natijalarini tahlil qilish uchun qo’llash mumkin.</w:t>
      </w:r>
      <w:r w:rsidRPr="00CE26D9">
        <w:rPr>
          <w:rFonts w:ascii="Times New Roman" w:hAnsi="Times New Roman" w:cs="Times New Roman"/>
          <w:sz w:val="28"/>
          <w:szCs w:val="28"/>
          <w:lang w:eastAsia="ru-RU"/>
        </w:rPr>
        <w:br/>
        <w:t>Transaktsiya xarajatlarini iqtisodiy tahlilga kiritish, R.Kouzning fikriga ko’ra, bozorga qarama-qarshi bo’lgan firma kabi o’zini-o’zi ongli ravishda nazorat qilish imkoniga ega bo’lgan “orolchalari”ning mavjud ekanligini tushuntirish uchun zarur bo’lgan.</w:t>
      </w:r>
      <w:r w:rsidRPr="00CE26D9">
        <w:rPr>
          <w:rFonts w:ascii="Times New Roman" w:hAnsi="Times New Roman" w:cs="Times New Roman"/>
          <w:sz w:val="28"/>
          <w:szCs w:val="28"/>
          <w:lang w:eastAsia="ru-RU"/>
        </w:rPr>
        <w:br/>
        <w:t>O’zining “Firma tabiati”, deb nomlangan maqolasida (1937) R.Kouz transaktsiya xarajatlarini “narxlar mexanizmidan foydalanish xarajatlari”, “ochiq bozorda almashuv transaktsiyalarini amalga oshirish xarajatlari” yoki “bozor xarajatlari” sifatida belgilagan. Keyinchalik “Ijtimoiy xarajatlar muammosi” maqolasida (1960) R.Kouz “bozor transaktsiya xarajatlari” iborasidan foydalangan. Ularning mohiyatini u quyidagicha ifodalagan: “bozor transaktsiyasini amalga oshirish uchun kim bilan bitim tuzish ma’qulligini </w:t>
      </w:r>
      <w:hyperlink r:id="rId7" w:history="1">
        <w:r w:rsidRPr="00CE26D9">
          <w:rPr>
            <w:rFonts w:ascii="Times New Roman" w:hAnsi="Times New Roman" w:cs="Times New Roman"/>
            <w:sz w:val="28"/>
            <w:szCs w:val="28"/>
            <w:lang w:eastAsia="ru-RU"/>
          </w:rPr>
          <w:t>aniqlab olish</w:t>
        </w:r>
      </w:hyperlink>
      <w:r w:rsidRPr="00CE26D9">
        <w:rPr>
          <w:rFonts w:ascii="Times New Roman" w:hAnsi="Times New Roman" w:cs="Times New Roman"/>
          <w:sz w:val="28"/>
          <w:szCs w:val="28"/>
          <w:lang w:eastAsia="ru-RU"/>
        </w:rPr>
        <w:t>, kim bilan va qanday shartlarda bitim tuzishni istayotganligi haqida barchaga ma’lum qilish zarur, dastlabki muzokaralarni o’tkazish, shartnomani tayyorlash, shartnoma shartlarining bajarilishiga ishonch hosil qilish uchun ma’lumotlarni yig’ish va hokazolar”1.</w:t>
      </w:r>
      <w:r w:rsidRPr="00CE26D9">
        <w:rPr>
          <w:rFonts w:ascii="Times New Roman" w:hAnsi="Times New Roman" w:cs="Times New Roman"/>
          <w:sz w:val="28"/>
          <w:szCs w:val="28"/>
          <w:lang w:eastAsia="ru-RU"/>
        </w:rPr>
        <w:br/>
        <w:t>Ammo, iqtisodiyot adabiyotida “transaktsiya xarajatlari” iborasi mustahkam o’rin egallagan. Bunda transaktsiya xarajatlariga berilgan quyidagi ta’rif keng tarqaldi: “transaktsiya xarajatlari – axborotni yig’ish va qayta ishlash xarajatlari, muzokaralar olib borish </w:t>
      </w:r>
      <w:hyperlink r:id="rId8" w:history="1">
        <w:r w:rsidRPr="00CE26D9">
          <w:rPr>
            <w:rFonts w:ascii="Times New Roman" w:hAnsi="Times New Roman" w:cs="Times New Roman"/>
            <w:sz w:val="28"/>
            <w:szCs w:val="28"/>
            <w:lang w:eastAsia="ru-RU"/>
          </w:rPr>
          <w:t>va qarorlar qabul qilish</w:t>
        </w:r>
      </w:hyperlink>
      <w:r w:rsidRPr="00CE26D9">
        <w:rPr>
          <w:rFonts w:ascii="Times New Roman" w:hAnsi="Times New Roman" w:cs="Times New Roman"/>
          <w:sz w:val="28"/>
          <w:szCs w:val="28"/>
          <w:lang w:eastAsia="ru-RU"/>
        </w:rPr>
        <w:t xml:space="preserve">, shartnomaning bajarilishini </w:t>
      </w:r>
      <w:r w:rsidRPr="00CE26D9">
        <w:rPr>
          <w:rFonts w:ascii="Times New Roman" w:hAnsi="Times New Roman" w:cs="Times New Roman"/>
          <w:sz w:val="28"/>
          <w:szCs w:val="28"/>
          <w:lang w:eastAsia="ru-RU"/>
        </w:rPr>
        <w:lastRenderedPageBreak/>
        <w:t>nazorat qilish va yuridik himoyalash xarajatlari”.</w:t>
      </w:r>
      <w:r w:rsidRPr="00CE26D9">
        <w:rPr>
          <w:rFonts w:ascii="Times New Roman" w:hAnsi="Times New Roman" w:cs="Times New Roman"/>
          <w:sz w:val="28"/>
          <w:szCs w:val="28"/>
          <w:lang w:eastAsia="ru-RU"/>
        </w:rPr>
        <w:br/>
        <w:t>Ilmiy manbalarda berilgan ta’riflarga muvofiq transaktsiya xarajatlarini quyidagi tarzda tasniflash mumkin:</w:t>
      </w:r>
      <w:r w:rsidRPr="00CE26D9">
        <w:rPr>
          <w:rFonts w:ascii="Times New Roman" w:hAnsi="Times New Roman" w:cs="Times New Roman"/>
          <w:sz w:val="28"/>
          <w:szCs w:val="28"/>
          <w:lang w:eastAsia="ru-RU"/>
        </w:rPr>
        <w:br/>
        <w:t>1) axborotni izlash xarajatlari (narxlar, mavjud tovarlar, etkazib beruvchilar va iste’molchilar to’g’risida axborotni yig’ish va qayta ishlash uchun sarflangan vaqt);</w:t>
      </w:r>
      <w:r w:rsidRPr="00CE26D9">
        <w:rPr>
          <w:rFonts w:ascii="Times New Roman" w:hAnsi="Times New Roman" w:cs="Times New Roman"/>
          <w:sz w:val="28"/>
          <w:szCs w:val="28"/>
          <w:lang w:eastAsia="ru-RU"/>
        </w:rPr>
        <w:br/>
        <w:t>2) muzokaralar olib borish xarajatlari;</w:t>
      </w:r>
      <w:r w:rsidRPr="00CE26D9">
        <w:rPr>
          <w:rFonts w:ascii="Times New Roman" w:hAnsi="Times New Roman" w:cs="Times New Roman"/>
          <w:sz w:val="28"/>
          <w:szCs w:val="28"/>
          <w:lang w:eastAsia="ru-RU"/>
        </w:rPr>
        <w:br/>
        <w:t>3) almashuvga kirgan tovarlar va xizmatlarning miqdori va sifatini o’lchash xarajatlari;</w:t>
      </w:r>
      <w:r w:rsidRPr="00CE26D9">
        <w:rPr>
          <w:rFonts w:ascii="Times New Roman" w:hAnsi="Times New Roman" w:cs="Times New Roman"/>
          <w:sz w:val="28"/>
          <w:szCs w:val="28"/>
          <w:lang w:eastAsia="ru-RU"/>
        </w:rPr>
        <w:br/>
        <w:t>4) tafsirlash va mulkiy huquqlarni </w:t>
      </w:r>
      <w:hyperlink r:id="rId9" w:history="1">
        <w:r w:rsidRPr="00CE26D9">
          <w:rPr>
            <w:rFonts w:ascii="Times New Roman" w:hAnsi="Times New Roman" w:cs="Times New Roman"/>
            <w:sz w:val="28"/>
            <w:szCs w:val="28"/>
            <w:lang w:eastAsia="ru-RU"/>
          </w:rPr>
          <w:t>himoyalash xarajatlari</w:t>
        </w:r>
      </w:hyperlink>
      <w:r w:rsidRPr="00CE26D9">
        <w:rPr>
          <w:rFonts w:ascii="Times New Roman" w:hAnsi="Times New Roman" w:cs="Times New Roman"/>
          <w:sz w:val="28"/>
          <w:szCs w:val="28"/>
          <w:lang w:eastAsia="ru-RU"/>
        </w:rPr>
        <w:t>;</w:t>
      </w:r>
      <w:r w:rsidRPr="00CE26D9">
        <w:rPr>
          <w:rFonts w:ascii="Times New Roman" w:hAnsi="Times New Roman" w:cs="Times New Roman"/>
          <w:sz w:val="28"/>
          <w:szCs w:val="28"/>
          <w:lang w:eastAsia="ru-RU"/>
        </w:rPr>
        <w:br/>
        <w:t>5) opportunistik xatti-harakatdan himoyalash xarajatlari, bunda bitim shartlarini buzuvchi yoki bir tomonlama foyda olishga yo’naltirilgan noinsoflik xatti-harakat tushuniladi.</w:t>
      </w:r>
      <w:r w:rsidRPr="00CE26D9">
        <w:rPr>
          <w:rFonts w:ascii="Times New Roman" w:hAnsi="Times New Roman" w:cs="Times New Roman"/>
          <w:sz w:val="28"/>
          <w:szCs w:val="28"/>
          <w:lang w:eastAsia="ru-RU"/>
        </w:rPr>
        <w:br/>
        <w:t>Transaktsiya xarajatlarini tasniflashga nisbatan turlicha yondashuvlar mavjud. Tasniflashni bitimni tuzish bosqichlariga muvofiq amalga oshirgan ma’qul. O.Uilyamson transaktsiya xarajatlarini bitim tuzilguncha va bitim tuzilganidan so’ng yuzaga keladigan xarajatlar, deya ta’riflaydi. Agar sherikni qidirib topish, </w:t>
      </w:r>
      <w:hyperlink r:id="rId10" w:history="1">
        <w:r w:rsidRPr="00CE26D9">
          <w:rPr>
            <w:rFonts w:ascii="Times New Roman" w:hAnsi="Times New Roman" w:cs="Times New Roman"/>
            <w:sz w:val="28"/>
            <w:szCs w:val="28"/>
            <w:lang w:eastAsia="ru-RU"/>
          </w:rPr>
          <w:t>manfaatlarni muvofiqlashtirish</w:t>
        </w:r>
      </w:hyperlink>
      <w:r w:rsidRPr="00CE26D9">
        <w:rPr>
          <w:rFonts w:ascii="Times New Roman" w:hAnsi="Times New Roman" w:cs="Times New Roman"/>
          <w:sz w:val="28"/>
          <w:szCs w:val="28"/>
          <w:lang w:eastAsia="ru-RU"/>
        </w:rPr>
        <w:t>, bitimning bajarilishini nazorat qilish bitim tuzishning bosqichlari sifatida ajratilsa, u holda transaktsiya xarajatlarini tasniflash quyidagi 5.1-jadval ko’rinishga ega bo’ladi.</w:t>
      </w:r>
      <w:bookmarkStart w:id="0" w:name="_GoBack"/>
      <w:bookmarkEnd w:id="0"/>
    </w:p>
    <w:sectPr w:rsidR="00AF14F7" w:rsidRPr="00CE26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4F7"/>
    <w:rsid w:val="000A604B"/>
    <w:rsid w:val="00395065"/>
    <w:rsid w:val="006C7768"/>
    <w:rsid w:val="0073715E"/>
    <w:rsid w:val="007C08A2"/>
    <w:rsid w:val="008D4792"/>
    <w:rsid w:val="00AF14F7"/>
    <w:rsid w:val="00BA213A"/>
    <w:rsid w:val="00CE26D9"/>
    <w:rsid w:val="00E24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14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AF14F7"/>
    <w:rPr>
      <w:color w:val="0000FF"/>
      <w:u w:val="single"/>
    </w:rPr>
  </w:style>
  <w:style w:type="paragraph" w:styleId="a5">
    <w:name w:val="Balloon Text"/>
    <w:basedOn w:val="a"/>
    <w:link w:val="a6"/>
    <w:uiPriority w:val="99"/>
    <w:semiHidden/>
    <w:unhideWhenUsed/>
    <w:rsid w:val="008D47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4792"/>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14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AF14F7"/>
    <w:rPr>
      <w:color w:val="0000FF"/>
      <w:u w:val="single"/>
    </w:rPr>
  </w:style>
  <w:style w:type="paragraph" w:styleId="a5">
    <w:name w:val="Balloon Text"/>
    <w:basedOn w:val="a"/>
    <w:link w:val="a6"/>
    <w:uiPriority w:val="99"/>
    <w:semiHidden/>
    <w:unhideWhenUsed/>
    <w:rsid w:val="008D47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479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51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yllar.org/4-mavzu-moliyaviy-qarorlar-reja-uy-xojaliklari-qabul-qiladigan.html" TargetMode="External"/><Relationship Id="rId3" Type="http://schemas.openxmlformats.org/officeDocument/2006/relationships/settings" Target="settings.xml"/><Relationship Id="rId7" Type="http://schemas.openxmlformats.org/officeDocument/2006/relationships/hyperlink" Target="https://fayllar.org/sunniylikda-diniy-huquq-mazhablaridan.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fayllar.org/m-avzusida-tayyorlagan.html" TargetMode="External"/><Relationship Id="rId11" Type="http://schemas.openxmlformats.org/officeDocument/2006/relationships/fontTable" Target="fontTable.xml"/><Relationship Id="rId5" Type="http://schemas.openxmlformats.org/officeDocument/2006/relationships/hyperlink" Target="https://fayllar.org/kirish-reja-mulk-va-ularning-turlari-tushunchasi.html" TargetMode="External"/><Relationship Id="rId10" Type="http://schemas.openxmlformats.org/officeDocument/2006/relationships/hyperlink" Target="https://fayllar.org/harakatni-muvofiqlashtirish.html" TargetMode="External"/><Relationship Id="rId4" Type="http://schemas.openxmlformats.org/officeDocument/2006/relationships/webSettings" Target="webSettings.xml"/><Relationship Id="rId9" Type="http://schemas.openxmlformats.org/officeDocument/2006/relationships/hyperlink" Target="https://fayllar.org/1-mavzu-axborotlarni-himoyalash-taminot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905</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2022-12-08T10:18:00Z</cp:lastPrinted>
  <dcterms:created xsi:type="dcterms:W3CDTF">2022-12-08T07:35:00Z</dcterms:created>
  <dcterms:modified xsi:type="dcterms:W3CDTF">2026-08-26T04:22:00Z</dcterms:modified>
</cp:coreProperties>
</file>